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09" w:rsidRPr="00DD5E09" w:rsidRDefault="00DD5E09" w:rsidP="00DD5E09">
      <w:pPr>
        <w:shd w:val="clear" w:color="auto" w:fill="FFFFFF"/>
        <w:spacing w:after="0" w:line="540" w:lineRule="atLeast"/>
        <w:outlineLvl w:val="1"/>
        <w:rPr>
          <w:rFonts w:ascii="Arial" w:eastAsia="Times New Roman" w:hAnsi="Arial" w:cs="Arial"/>
          <w:sz w:val="72"/>
          <w:szCs w:val="72"/>
          <w:lang w:eastAsia="hu-HU"/>
        </w:rPr>
      </w:pPr>
      <w:r w:rsidRPr="00DD5E09">
        <w:rPr>
          <w:rFonts w:ascii="Arial" w:eastAsia="Times New Roman" w:hAnsi="Arial" w:cs="Arial"/>
          <w:sz w:val="72"/>
          <w:szCs w:val="72"/>
          <w:lang w:eastAsia="hu-HU"/>
        </w:rPr>
        <w:t>Artisjus</w:t>
      </w:r>
    </w:p>
    <w:p w:rsidR="00DD5E09" w:rsidRPr="00DD5E09" w:rsidRDefault="00DD5E09" w:rsidP="00DD5E09">
      <w:pPr>
        <w:shd w:val="clear" w:color="auto" w:fill="FFFFFF"/>
        <w:spacing w:after="0" w:line="315" w:lineRule="atLeast"/>
        <w:rPr>
          <w:rFonts w:ascii="Arial" w:eastAsia="Times New Roman" w:hAnsi="Arial" w:cs="Arial"/>
          <w:b/>
          <w:bCs/>
          <w:sz w:val="20"/>
          <w:szCs w:val="20"/>
          <w:lang w:eastAsia="hu-HU"/>
        </w:rPr>
      </w:pPr>
    </w:p>
    <w:p w:rsidR="00DD5E09" w:rsidRPr="00DD5E09" w:rsidRDefault="00DD5E09" w:rsidP="00DD5E09">
      <w:pPr>
        <w:shd w:val="clear" w:color="auto" w:fill="FFFFFF"/>
        <w:spacing w:after="0" w:line="315" w:lineRule="atLeast"/>
        <w:rPr>
          <w:rFonts w:ascii="Arial" w:eastAsia="Times New Roman" w:hAnsi="Arial" w:cs="Arial"/>
          <w:sz w:val="24"/>
          <w:szCs w:val="21"/>
          <w:lang w:eastAsia="hu-HU"/>
        </w:rPr>
      </w:pPr>
      <w:r w:rsidRPr="00DD5E09">
        <w:rPr>
          <w:rFonts w:ascii="Arial" w:eastAsia="Times New Roman" w:hAnsi="Arial" w:cs="Arial"/>
          <w:b/>
          <w:bCs/>
          <w:sz w:val="24"/>
          <w:szCs w:val="20"/>
          <w:lang w:eastAsia="hu-HU"/>
        </w:rPr>
        <w:t>Hasznos tudnivalók falusi szálláshelyek számára az ARTISJUS felé fizetendő szerzői jogdíjról</w:t>
      </w:r>
    </w:p>
    <w:p w:rsidR="00C067FD" w:rsidRDefault="00C067FD" w:rsidP="00DD5E09">
      <w:pPr>
        <w:shd w:val="clear" w:color="auto" w:fill="FFFFFF"/>
        <w:spacing w:before="225" w:after="225" w:line="315" w:lineRule="atLeast"/>
        <w:rPr>
          <w:rFonts w:ascii="Arial" w:eastAsia="Times New Roman" w:hAnsi="Arial" w:cs="Arial"/>
          <w:sz w:val="20"/>
          <w:szCs w:val="20"/>
          <w:lang w:eastAsia="hu-HU"/>
        </w:rPr>
      </w:pPr>
    </w:p>
    <w:p w:rsidR="00DD5E09" w:rsidRPr="00DD5E09" w:rsidRDefault="00DD5E09" w:rsidP="00DD5E09">
      <w:pPr>
        <w:shd w:val="clear" w:color="auto" w:fill="FFFFFF"/>
        <w:spacing w:before="225" w:after="225" w:line="315" w:lineRule="atLeast"/>
        <w:rPr>
          <w:rFonts w:ascii="Arial" w:eastAsia="Times New Roman" w:hAnsi="Arial" w:cs="Arial"/>
          <w:sz w:val="21"/>
          <w:szCs w:val="21"/>
          <w:lang w:eastAsia="hu-HU"/>
        </w:rPr>
      </w:pP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ARTISJUS  - Szerzői Jogvédő Iroda :</w:t>
      </w:r>
      <w:r w:rsidRPr="00DD5E09">
        <w:rPr>
          <w:rFonts w:ascii="Arial" w:eastAsia="Times New Roman" w:hAnsi="Arial" w:cs="Arial"/>
          <w:sz w:val="20"/>
          <w:szCs w:val="20"/>
          <w:lang w:eastAsia="hu-HU"/>
        </w:rPr>
        <w:br/>
        <w:t>Az Artisjus Magyar Szerzői Jogvédő Iroda Egyesület a zenei és irodalmi szerzői jogok közös jogkezelő szervezete. Tagjai és megbízói között található több mint 11000 zeneszerző, szövegíró, irodalmi szerző és zeneműkiadó.</w:t>
      </w:r>
      <w:r w:rsidRPr="00DD5E09">
        <w:rPr>
          <w:rFonts w:ascii="Arial" w:eastAsia="Times New Roman" w:hAnsi="Arial" w:cs="Arial"/>
          <w:sz w:val="20"/>
          <w:szCs w:val="20"/>
          <w:lang w:eastAsia="hu-HU"/>
        </w:rPr>
        <w:br/>
        <w:t>Székhely: 1016. Budapest ,Mészáros u. 15-17. </w:t>
      </w:r>
      <w:r w:rsidRPr="00DD5E09">
        <w:rPr>
          <w:rFonts w:ascii="Arial" w:eastAsia="Times New Roman" w:hAnsi="Arial" w:cs="Arial"/>
          <w:sz w:val="20"/>
          <w:szCs w:val="20"/>
          <w:lang w:eastAsia="hu-HU"/>
        </w:rPr>
        <w:br/>
        <w:t>Honlap címe: www.artisjus.com</w:t>
      </w:r>
      <w:r w:rsidRPr="00DD5E09">
        <w:rPr>
          <w:rFonts w:ascii="Arial" w:eastAsia="Times New Roman" w:hAnsi="Arial" w:cs="Arial"/>
          <w:sz w:val="20"/>
          <w:szCs w:val="20"/>
          <w:lang w:eastAsia="hu-HU"/>
        </w:rPr>
        <w:br/>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Szerzői jogdíj:</w:t>
      </w:r>
      <w:r w:rsidRPr="00DD5E09">
        <w:rPr>
          <w:rFonts w:ascii="Arial" w:eastAsia="Times New Roman" w:hAnsi="Arial" w:cs="Arial"/>
          <w:sz w:val="20"/>
          <w:szCs w:val="20"/>
          <w:lang w:eastAsia="hu-HU"/>
        </w:rPr>
        <w:br/>
        <w:t>ARTISJUS Magyar Szerzői Jogvédő Iroda Egyesület vendéglátó üzletek és  szálláshelyek számára az irodalmi és zeneművek nem színpadi nyilvános  előadásának engedélyezése fejében, valamint kereskedelmi célból kiadott  hangfelvételek vagy arról készült másolatok nyilvánossághoz közvetítéséért  fizetendő szerzői és szomszédos jogi jogdíjakról ÉVENTE közzéteszi Jogdíjközelményét .</w:t>
      </w:r>
      <w:r w:rsidRPr="00DD5E09">
        <w:rPr>
          <w:rFonts w:ascii="Arial" w:eastAsia="Times New Roman" w:hAnsi="Arial" w:cs="Arial"/>
          <w:sz w:val="20"/>
          <w:szCs w:val="20"/>
          <w:lang w:eastAsia="hu-HU"/>
        </w:rPr>
        <w:br/>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Falusi és egyéb szálláshelyek szerzői jogdíjának alapja :</w:t>
      </w:r>
      <w:r w:rsidRPr="00DD5E09">
        <w:rPr>
          <w:rFonts w:ascii="Arial" w:eastAsia="Times New Roman" w:hAnsi="Arial" w:cs="Arial"/>
          <w:sz w:val="20"/>
          <w:szCs w:val="20"/>
          <w:lang w:eastAsia="hu-HU"/>
        </w:rPr>
        <w:br/>
        <w:t>Az ARTISJUS a szerzői jogdíjat a rádió- vagy televízió-szervezetek mûsorában sugárzott, illetve közvetített mûvek, elõadások és hangfelvételek sugárzással, vezeték útján vagy egyéb módon egyidejû, változatlan és csonkítatlan továbbközvetítése  ( televízió, rádió, videó, magnó, music c., zenegép, számítógép, DVD lejátszó formájában) .</w:t>
      </w:r>
      <w:r w:rsidRPr="00DD5E09">
        <w:rPr>
          <w:rFonts w:ascii="Arial" w:eastAsia="Times New Roman" w:hAnsi="Arial" w:cs="Arial"/>
          <w:sz w:val="20"/>
          <w:szCs w:val="20"/>
          <w:lang w:eastAsia="hu-HU"/>
        </w:rPr>
        <w:br/>
      </w:r>
      <w:r w:rsidRPr="00DD5E09">
        <w:rPr>
          <w:rFonts w:ascii="Arial" w:eastAsia="Times New Roman" w:hAnsi="Arial" w:cs="Arial"/>
          <w:noProof/>
          <w:sz w:val="20"/>
          <w:szCs w:val="20"/>
          <w:lang w:eastAsia="hu-HU"/>
        </w:rPr>
        <w:lastRenderedPageBreak/>
        <w:drawing>
          <wp:inline distT="0" distB="0" distL="0" distR="0" wp14:anchorId="7187CE35" wp14:editId="01FEC6B6">
            <wp:extent cx="5200650" cy="4324350"/>
            <wp:effectExtent l="0" t="0" r="0" b="0"/>
            <wp:docPr id="1" name="Kép 1" descr="artsjus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jus2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4324350"/>
                    </a:xfrm>
                    <a:prstGeom prst="rect">
                      <a:avLst/>
                    </a:prstGeom>
                    <a:noFill/>
                    <a:ln>
                      <a:noFill/>
                    </a:ln>
                  </pic:spPr>
                </pic:pic>
              </a:graphicData>
            </a:graphic>
          </wp:inline>
        </w:drawing>
      </w:r>
      <w:r w:rsidRPr="00DD5E09">
        <w:rPr>
          <w:rFonts w:ascii="Arial" w:eastAsia="Times New Roman" w:hAnsi="Arial" w:cs="Arial"/>
          <w:b/>
          <w:bCs/>
          <w:sz w:val="20"/>
          <w:szCs w:val="20"/>
          <w:lang w:eastAsia="hu-HU"/>
        </w:rPr>
        <w:t> </w:t>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 </w:t>
      </w:r>
    </w:p>
    <w:p w:rsidR="008E5DA6" w:rsidRPr="00DD5E09" w:rsidRDefault="00DD5E09" w:rsidP="00DD5E09">
      <w:pPr>
        <w:shd w:val="clear" w:color="auto" w:fill="FFFFFF"/>
        <w:spacing w:before="225" w:after="225" w:line="315" w:lineRule="atLeast"/>
        <w:rPr>
          <w:rFonts w:ascii="Arial" w:eastAsia="Times New Roman" w:hAnsi="Arial" w:cs="Arial"/>
          <w:sz w:val="21"/>
          <w:szCs w:val="21"/>
          <w:lang w:eastAsia="hu-HU"/>
        </w:rPr>
      </w:pPr>
      <w:r w:rsidRPr="00DD5E09">
        <w:rPr>
          <w:rFonts w:ascii="Arial" w:eastAsia="Times New Roman" w:hAnsi="Arial" w:cs="Arial"/>
          <w:b/>
          <w:bCs/>
          <w:sz w:val="20"/>
          <w:szCs w:val="20"/>
          <w:lang w:eastAsia="hu-HU"/>
        </w:rPr>
        <w:t>Kedvezményes, - FATOSZ tagok számára megállapított - szerzői jogdíj igénybevételének  feltételei és módja:</w:t>
      </w:r>
      <w:r w:rsidRPr="00DD5E09">
        <w:rPr>
          <w:rFonts w:ascii="Arial" w:eastAsia="Times New Roman" w:hAnsi="Arial" w:cs="Arial"/>
          <w:sz w:val="20"/>
          <w:szCs w:val="20"/>
          <w:lang w:eastAsia="hu-HU"/>
        </w:rPr>
        <w:br/>
        <w:t>-    érvényes tagsági viszony a FATOSZ megyei szervezeténél </w:t>
      </w:r>
      <w:r w:rsidRPr="00DD5E09">
        <w:rPr>
          <w:rFonts w:ascii="Arial" w:eastAsia="Times New Roman" w:hAnsi="Arial" w:cs="Arial"/>
          <w:sz w:val="20"/>
          <w:szCs w:val="20"/>
          <w:lang w:eastAsia="hu-HU"/>
        </w:rPr>
        <w:br/>
        <w:t>-    Szálláshely üzemeltetési engedélye egyéb szálláshelyre szól  ( falusi szálláshelyre ) </w:t>
      </w:r>
      <w:r w:rsidRPr="00DD5E09">
        <w:rPr>
          <w:rFonts w:ascii="Arial" w:eastAsia="Times New Roman" w:hAnsi="Arial" w:cs="Arial"/>
          <w:sz w:val="20"/>
          <w:szCs w:val="20"/>
          <w:lang w:eastAsia="hu-HU"/>
        </w:rPr>
        <w:br/>
        <w:t>-    0 Ft tartozás az ARTISJUS-nál </w:t>
      </w:r>
      <w:r w:rsidRPr="00DD5E09">
        <w:rPr>
          <w:rFonts w:ascii="Arial" w:eastAsia="Times New Roman" w:hAnsi="Arial" w:cs="Arial"/>
          <w:sz w:val="20"/>
          <w:szCs w:val="20"/>
          <w:lang w:eastAsia="hu-HU"/>
        </w:rPr>
        <w:br/>
        <w:t>-    BEVALLÁSI  FORMANYOMTATVÁNY  eljuttatása az ARTISJUS felé, a FATOSZ budapesti központi információs irodáján keresztül  ( 1077.Budapest,Király u.93. ),ahol az Iroda leigazolja  a tagsági viszonyt. A bevallási nyomtatványt nem kell évente benyújtani, csak 1 x a tevékenység megkezdésekor .</w:t>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br/>
        <w:t>Fizetés módja:</w:t>
      </w:r>
      <w:r w:rsidRPr="00DD5E09">
        <w:rPr>
          <w:rFonts w:ascii="Arial" w:eastAsia="Times New Roman" w:hAnsi="Arial" w:cs="Arial"/>
          <w:sz w:val="20"/>
          <w:szCs w:val="20"/>
          <w:lang w:eastAsia="hu-HU"/>
        </w:rPr>
        <w:br/>
        <w:t>-    Az új  bevallás benyújtását követően, az ARTISJUS által megküldött csekken</w:t>
      </w:r>
      <w:r w:rsidRPr="00DD5E09">
        <w:rPr>
          <w:rFonts w:ascii="Arial" w:eastAsia="Times New Roman" w:hAnsi="Arial" w:cs="Arial"/>
          <w:sz w:val="20"/>
          <w:szCs w:val="20"/>
          <w:lang w:eastAsia="hu-HU"/>
        </w:rPr>
        <w:br/>
        <w:t>-    Régi felhasználó ( falusi szállásadó) esetében , automa</w:t>
      </w:r>
      <w:bookmarkStart w:id="0" w:name="_GoBack"/>
      <w:bookmarkEnd w:id="0"/>
      <w:r w:rsidRPr="00DD5E09">
        <w:rPr>
          <w:rFonts w:ascii="Arial" w:eastAsia="Times New Roman" w:hAnsi="Arial" w:cs="Arial"/>
          <w:sz w:val="20"/>
          <w:szCs w:val="20"/>
          <w:lang w:eastAsia="hu-HU"/>
        </w:rPr>
        <w:t>tikusan megküldi az ARTISJUS  ( a bevallást követően a szállásadó , mint felhasználó  bekerül az ARTISJUS központi nyilvántartó rendszerébe és onnantól kezdve rendszeres jelleggel kapja a csekkeket) </w:t>
      </w:r>
      <w:r w:rsidRPr="00DD5E09">
        <w:rPr>
          <w:rFonts w:ascii="Arial" w:eastAsia="Times New Roman" w:hAnsi="Arial" w:cs="Arial"/>
          <w:sz w:val="20"/>
          <w:szCs w:val="20"/>
          <w:lang w:eastAsia="hu-HU"/>
        </w:rPr>
        <w:br/>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Szobaszám változás ,  szállásadói tevékenység  megszűnésének bejelentése:</w:t>
      </w:r>
      <w:r w:rsidRPr="00DD5E09">
        <w:rPr>
          <w:rFonts w:ascii="Arial" w:eastAsia="Times New Roman" w:hAnsi="Arial" w:cs="Arial"/>
          <w:sz w:val="20"/>
          <w:szCs w:val="20"/>
          <w:lang w:eastAsia="hu-HU"/>
        </w:rPr>
        <w:br/>
        <w:t>-    Amennyiben az eredeti bevallásához képest , a vendégház adataiban változás következett be pl,. szobaszám emelkedés, úgy, írásban kell bejelentenie az ARTISJUS Vidéki kirendeltségéhez ,mint „ VÁLTOZÁSBEJELENTÉST”.</w:t>
      </w:r>
      <w:r w:rsidRPr="00DD5E09">
        <w:rPr>
          <w:rFonts w:ascii="Arial" w:eastAsia="Times New Roman" w:hAnsi="Arial" w:cs="Arial"/>
          <w:sz w:val="20"/>
          <w:szCs w:val="20"/>
          <w:lang w:eastAsia="hu-HU"/>
        </w:rPr>
        <w:br/>
      </w:r>
      <w:r w:rsidRPr="00DD5E09">
        <w:rPr>
          <w:rFonts w:ascii="Arial" w:eastAsia="Times New Roman" w:hAnsi="Arial" w:cs="Arial"/>
          <w:sz w:val="20"/>
          <w:szCs w:val="20"/>
          <w:lang w:eastAsia="hu-HU"/>
        </w:rPr>
        <w:lastRenderedPageBreak/>
        <w:t>-    Amennyiben  a bevallását követően , szálláshelyéről mellőzte időközben a televízió készülékeket és egyéb zenefelhasználó eszközöket, úgy írásban kell bejelentenie az ARTISJUS Vidéki kirendeltsége felé ,mint „VÁLTOZÁSBEJELENTÉST „</w:t>
      </w:r>
      <w:r w:rsidRPr="00DD5E09">
        <w:rPr>
          <w:rFonts w:ascii="Arial" w:eastAsia="Times New Roman" w:hAnsi="Arial" w:cs="Arial"/>
          <w:sz w:val="20"/>
          <w:szCs w:val="20"/>
          <w:lang w:eastAsia="hu-HU"/>
        </w:rPr>
        <w:br/>
        <w:t>-    Amennyiben a bevallását követően  abbahagyta a falusi szállásadói tevékenységet , úgy írásban kell bejelentenie az ARTISJUS Vidéki kirendeltségéhez,mint „VÁLTOZÁSBEJELNETÉS”</w:t>
      </w:r>
      <w:r w:rsidRPr="00DD5E09">
        <w:rPr>
          <w:rFonts w:ascii="Arial" w:eastAsia="Times New Roman" w:hAnsi="Arial" w:cs="Arial"/>
          <w:sz w:val="20"/>
          <w:szCs w:val="20"/>
          <w:lang w:eastAsia="hu-HU"/>
        </w:rPr>
        <w:br/>
        <w:t>-    Amennyiben a beavllását követően megváltozott a szálláshely besorolása pl. szálláshelyből vendéglátó egység lett vagy fordítva, úgy azt írásban kell bejelentenie az ARTISJUS vidéki kirendeltségéhez, mint „ VÁLTOZÁSBEJELENTÉST” .</w:t>
      </w:r>
      <w:r w:rsidRPr="00DD5E09">
        <w:rPr>
          <w:rFonts w:ascii="Arial" w:eastAsia="Times New Roman" w:hAnsi="Arial" w:cs="Arial"/>
          <w:sz w:val="20"/>
          <w:szCs w:val="20"/>
          <w:lang w:eastAsia="hu-HU"/>
        </w:rPr>
        <w:br/>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ARTISJUS Vidéki Kirendeltségei:</w:t>
      </w:r>
      <w:r w:rsidRPr="00DD5E09">
        <w:rPr>
          <w:rFonts w:ascii="Arial" w:eastAsia="Times New Roman" w:hAnsi="Arial" w:cs="Arial"/>
          <w:sz w:val="20"/>
          <w:szCs w:val="20"/>
          <w:lang w:eastAsia="hu-HU"/>
        </w:rPr>
        <w:br/>
        <w:t>Az ARTISJUS  vidéken, egy adott régióhoz tartozóan kirendeltséget tart fenn, akikhez lehet  szeméylesen is fordulni egyeztetés, csekk, változásbejelntéssel kapcsolatban</w:t>
      </w:r>
      <w:r w:rsidRPr="00DD5E09">
        <w:rPr>
          <w:rFonts w:ascii="Arial" w:eastAsia="Times New Roman" w:hAnsi="Arial" w:cs="Arial"/>
          <w:sz w:val="20"/>
          <w:szCs w:val="20"/>
          <w:lang w:eastAsia="hu-HU"/>
        </w:rPr>
        <w:br/>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Győri Iroda</w:t>
      </w:r>
      <w:r w:rsidRPr="00DD5E09">
        <w:rPr>
          <w:rFonts w:ascii="Arial" w:eastAsia="Times New Roman" w:hAnsi="Arial" w:cs="Arial"/>
          <w:sz w:val="20"/>
          <w:szCs w:val="20"/>
          <w:lang w:eastAsia="hu-HU"/>
        </w:rPr>
        <w:br/>
        <w:t>Győr-Moson-Sopron és Vas megyékben</w:t>
      </w:r>
      <w:r w:rsidRPr="00DD5E09">
        <w:rPr>
          <w:rFonts w:ascii="Arial" w:eastAsia="Times New Roman" w:hAnsi="Arial" w:cs="Arial"/>
          <w:sz w:val="20"/>
          <w:szCs w:val="20"/>
          <w:lang w:eastAsia="hu-HU"/>
        </w:rPr>
        <w:br/>
        <w:t>Tel.: (96) 618-010, (96) 618-018, Fax: (96) 618-011</w:t>
      </w:r>
      <w:r w:rsidRPr="00DD5E09">
        <w:rPr>
          <w:rFonts w:ascii="Arial" w:eastAsia="Times New Roman" w:hAnsi="Arial" w:cs="Arial"/>
          <w:sz w:val="20"/>
          <w:szCs w:val="20"/>
          <w:lang w:eastAsia="hu-HU"/>
        </w:rPr>
        <w:br/>
        <w:t>9022 Győr, Apáca u. 8.</w:t>
      </w:r>
      <w:r w:rsidRPr="00DD5E09">
        <w:rPr>
          <w:rFonts w:ascii="Arial" w:eastAsia="Times New Roman" w:hAnsi="Arial" w:cs="Arial"/>
          <w:sz w:val="20"/>
          <w:szCs w:val="20"/>
          <w:lang w:eastAsia="hu-HU"/>
        </w:rPr>
        <w:br/>
        <w:t> </w:t>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Miskolci Iroda</w:t>
      </w:r>
      <w:r w:rsidRPr="00DD5E09">
        <w:rPr>
          <w:rFonts w:ascii="Arial" w:eastAsia="Times New Roman" w:hAnsi="Arial" w:cs="Arial"/>
          <w:sz w:val="20"/>
          <w:szCs w:val="20"/>
          <w:lang w:eastAsia="hu-HU"/>
        </w:rPr>
        <w:br/>
        <w:t>Borsod-Abaúj-Zemplén, Hajdú-Bihar és Szabolcs-Szatmár-Bereg megyékben</w:t>
      </w:r>
      <w:r w:rsidRPr="00DD5E09">
        <w:rPr>
          <w:rFonts w:ascii="Arial" w:eastAsia="Times New Roman" w:hAnsi="Arial" w:cs="Arial"/>
          <w:sz w:val="20"/>
          <w:szCs w:val="20"/>
          <w:lang w:eastAsia="hu-HU"/>
        </w:rPr>
        <w:br/>
        <w:t>Tel./Fax: (46) 508-950</w:t>
      </w:r>
      <w:r w:rsidRPr="00DD5E09">
        <w:rPr>
          <w:rFonts w:ascii="Arial" w:eastAsia="Times New Roman" w:hAnsi="Arial" w:cs="Arial"/>
          <w:sz w:val="20"/>
          <w:szCs w:val="20"/>
          <w:lang w:eastAsia="hu-HU"/>
        </w:rPr>
        <w:br/>
        <w:t>3530 Miskolc, Mindszent tér 1.</w:t>
      </w:r>
      <w:r w:rsidRPr="00DD5E09">
        <w:rPr>
          <w:rFonts w:ascii="Arial" w:eastAsia="Times New Roman" w:hAnsi="Arial" w:cs="Arial"/>
          <w:sz w:val="20"/>
          <w:szCs w:val="20"/>
          <w:lang w:eastAsia="hu-HU"/>
        </w:rPr>
        <w:br/>
        <w:t> </w:t>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Pécsi Iroda</w:t>
      </w:r>
      <w:r w:rsidRPr="00DD5E09">
        <w:rPr>
          <w:rFonts w:ascii="Arial" w:eastAsia="Times New Roman" w:hAnsi="Arial" w:cs="Arial"/>
          <w:sz w:val="20"/>
          <w:szCs w:val="20"/>
          <w:lang w:eastAsia="hu-HU"/>
        </w:rPr>
        <w:br/>
        <w:t>Baranya, Bács-Kiskun és Tolna megyékben</w:t>
      </w:r>
      <w:r w:rsidRPr="00DD5E09">
        <w:rPr>
          <w:rFonts w:ascii="Arial" w:eastAsia="Times New Roman" w:hAnsi="Arial" w:cs="Arial"/>
          <w:sz w:val="20"/>
          <w:szCs w:val="20"/>
          <w:lang w:eastAsia="hu-HU"/>
        </w:rPr>
        <w:br/>
        <w:t>Tel.: (72) 520-636 Fax: (72) 336-699</w:t>
      </w:r>
      <w:r w:rsidRPr="00DD5E09">
        <w:rPr>
          <w:rFonts w:ascii="Arial" w:eastAsia="Times New Roman" w:hAnsi="Arial" w:cs="Arial"/>
          <w:sz w:val="20"/>
          <w:szCs w:val="20"/>
          <w:lang w:eastAsia="hu-HU"/>
        </w:rPr>
        <w:br/>
        <w:t>7621 Pécs, Papnövelde u 29.</w:t>
      </w:r>
      <w:r w:rsidRPr="00DD5E09">
        <w:rPr>
          <w:rFonts w:ascii="Arial" w:eastAsia="Times New Roman" w:hAnsi="Arial" w:cs="Arial"/>
          <w:sz w:val="20"/>
          <w:szCs w:val="20"/>
          <w:lang w:eastAsia="hu-HU"/>
        </w:rPr>
        <w:br/>
        <w:t>  </w:t>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Debreceni Iroda</w:t>
      </w:r>
      <w:r w:rsidRPr="00DD5E09">
        <w:rPr>
          <w:rFonts w:ascii="Arial" w:eastAsia="Times New Roman" w:hAnsi="Arial" w:cs="Arial"/>
          <w:sz w:val="20"/>
          <w:szCs w:val="20"/>
          <w:lang w:eastAsia="hu-HU"/>
        </w:rPr>
        <w:br/>
        <w:t>Békés, Hajdú-Bihar és Szabolcs-Szatmár-Bereg megyékben</w:t>
      </w:r>
      <w:r w:rsidRPr="00DD5E09">
        <w:rPr>
          <w:rFonts w:ascii="Arial" w:eastAsia="Times New Roman" w:hAnsi="Arial" w:cs="Arial"/>
          <w:sz w:val="20"/>
          <w:szCs w:val="20"/>
          <w:lang w:eastAsia="hu-HU"/>
        </w:rPr>
        <w:br/>
        <w:t>Tel./Fax: (52) 536-526, (52) 536-527</w:t>
      </w:r>
      <w:r w:rsidRPr="00DD5E09">
        <w:rPr>
          <w:rFonts w:ascii="Arial" w:eastAsia="Times New Roman" w:hAnsi="Arial" w:cs="Arial"/>
          <w:sz w:val="20"/>
          <w:szCs w:val="20"/>
          <w:lang w:eastAsia="hu-HU"/>
        </w:rPr>
        <w:br/>
        <w:t>4024 Debrecen, Piac u. 77., I/7.</w:t>
      </w:r>
      <w:r w:rsidRPr="00DD5E09">
        <w:rPr>
          <w:rFonts w:ascii="Arial" w:eastAsia="Times New Roman" w:hAnsi="Arial" w:cs="Arial"/>
          <w:sz w:val="20"/>
          <w:szCs w:val="20"/>
          <w:lang w:eastAsia="hu-HU"/>
        </w:rPr>
        <w:br/>
        <w:t> </w:t>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 Szegedi Iroda</w:t>
      </w:r>
      <w:r w:rsidRPr="00DD5E09">
        <w:rPr>
          <w:rFonts w:ascii="Arial" w:eastAsia="Times New Roman" w:hAnsi="Arial" w:cs="Arial"/>
          <w:sz w:val="20"/>
          <w:szCs w:val="20"/>
          <w:lang w:eastAsia="hu-HU"/>
        </w:rPr>
        <w:br/>
        <w:t>Bács-Kiskun, Békés, Csongrád és Jász-Nagykun-Szolnok megyékben</w:t>
      </w:r>
      <w:r w:rsidRPr="00DD5E09">
        <w:rPr>
          <w:rFonts w:ascii="Arial" w:eastAsia="Times New Roman" w:hAnsi="Arial" w:cs="Arial"/>
          <w:sz w:val="20"/>
          <w:szCs w:val="20"/>
          <w:lang w:eastAsia="hu-HU"/>
        </w:rPr>
        <w:br/>
        <w:t>Tel.: (62) 558-190, (62) 558-191 Fax: (62) 558-192</w:t>
      </w:r>
      <w:r w:rsidRPr="00DD5E09">
        <w:rPr>
          <w:rFonts w:ascii="Arial" w:eastAsia="Times New Roman" w:hAnsi="Arial" w:cs="Arial"/>
          <w:sz w:val="20"/>
          <w:szCs w:val="20"/>
          <w:lang w:eastAsia="hu-HU"/>
        </w:rPr>
        <w:br/>
        <w:t>6726 Szeged, Szent-Györgyi Albert u. 38.</w:t>
      </w:r>
      <w:r w:rsidRPr="00DD5E09">
        <w:rPr>
          <w:rFonts w:ascii="Arial" w:eastAsia="Times New Roman" w:hAnsi="Arial" w:cs="Arial"/>
          <w:sz w:val="20"/>
          <w:szCs w:val="20"/>
          <w:lang w:eastAsia="hu-HU"/>
        </w:rPr>
        <w:br/>
        <w:t> </w:t>
      </w:r>
      <w:r w:rsidRPr="00DD5E09">
        <w:rPr>
          <w:rFonts w:ascii="Arial" w:eastAsia="Times New Roman" w:hAnsi="Arial" w:cs="Arial"/>
          <w:sz w:val="20"/>
          <w:szCs w:val="20"/>
          <w:lang w:eastAsia="hu-HU"/>
        </w:rPr>
        <w:br/>
      </w:r>
      <w:r w:rsidRPr="00DD5E09">
        <w:rPr>
          <w:rFonts w:ascii="Arial" w:eastAsia="Times New Roman" w:hAnsi="Arial" w:cs="Arial"/>
          <w:b/>
          <w:bCs/>
          <w:sz w:val="20"/>
          <w:szCs w:val="20"/>
          <w:lang w:eastAsia="hu-HU"/>
        </w:rPr>
        <w:t> Zalaegerszegi Iroda</w:t>
      </w:r>
      <w:r w:rsidRPr="00DD5E09">
        <w:rPr>
          <w:rFonts w:ascii="Arial" w:eastAsia="Times New Roman" w:hAnsi="Arial" w:cs="Arial"/>
          <w:sz w:val="20"/>
          <w:szCs w:val="20"/>
          <w:lang w:eastAsia="hu-HU"/>
        </w:rPr>
        <w:br/>
        <w:t>Vas, Veszprém és Zala megyékben</w:t>
      </w:r>
      <w:r w:rsidRPr="00DD5E09">
        <w:rPr>
          <w:rFonts w:ascii="Arial" w:eastAsia="Times New Roman" w:hAnsi="Arial" w:cs="Arial"/>
          <w:sz w:val="20"/>
          <w:szCs w:val="20"/>
          <w:lang w:eastAsia="hu-HU"/>
        </w:rPr>
        <w:br/>
        <w:t>Tel.: (92) 598-646 Fax: (92) 598-647</w:t>
      </w:r>
      <w:r w:rsidRPr="00DD5E09">
        <w:rPr>
          <w:rFonts w:ascii="Arial" w:eastAsia="Times New Roman" w:hAnsi="Arial" w:cs="Arial"/>
          <w:sz w:val="20"/>
          <w:szCs w:val="20"/>
          <w:lang w:eastAsia="hu-HU"/>
        </w:rPr>
        <w:br/>
        <w:t>8900 Zalaegerszeg, Tompa Mihály u. 1-3.</w:t>
      </w:r>
    </w:p>
    <w:sectPr w:rsidR="008E5DA6" w:rsidRPr="00DD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09"/>
    <w:rsid w:val="008E5DA6"/>
    <w:rsid w:val="00C067FD"/>
    <w:rsid w:val="00DD5E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D5E0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D5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D5E0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D5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2346">
      <w:bodyDiv w:val="1"/>
      <w:marLeft w:val="0"/>
      <w:marRight w:val="0"/>
      <w:marTop w:val="0"/>
      <w:marBottom w:val="0"/>
      <w:divBdr>
        <w:top w:val="none" w:sz="0" w:space="0" w:color="auto"/>
        <w:left w:val="none" w:sz="0" w:space="0" w:color="auto"/>
        <w:bottom w:val="none" w:sz="0" w:space="0" w:color="auto"/>
        <w:right w:val="none" w:sz="0" w:space="0" w:color="auto"/>
      </w:divBdr>
      <w:divsChild>
        <w:div w:id="1898972470">
          <w:marLeft w:val="0"/>
          <w:marRight w:val="0"/>
          <w:marTop w:val="150"/>
          <w:marBottom w:val="0"/>
          <w:divBdr>
            <w:top w:val="none" w:sz="0" w:space="0" w:color="auto"/>
            <w:left w:val="none" w:sz="0" w:space="0" w:color="auto"/>
            <w:bottom w:val="none" w:sz="0" w:space="0" w:color="auto"/>
            <w:right w:val="none" w:sz="0" w:space="0" w:color="auto"/>
          </w:divBdr>
          <w:divsChild>
            <w:div w:id="1448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525</Words>
  <Characters>3626</Characters>
  <Application>Microsoft Office Word</Application>
  <DocSecurity>0</DocSecurity>
  <Lines>30</Lines>
  <Paragraphs>8</Paragraphs>
  <ScaleCrop>false</ScaleCrop>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Sanyi</dc:creator>
  <cp:lastModifiedBy>Sanyi</cp:lastModifiedBy>
  <cp:revision>2</cp:revision>
  <dcterms:created xsi:type="dcterms:W3CDTF">2015-12-09T11:16:00Z</dcterms:created>
  <dcterms:modified xsi:type="dcterms:W3CDTF">2015-12-09T11:20:00Z</dcterms:modified>
</cp:coreProperties>
</file>